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4" w:rsidRDefault="00202854" w:rsidP="00375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202854" w:rsidRDefault="00202854" w:rsidP="00375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керівника апарату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Лозівського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міськрайонного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суду Харківської області</w:t>
      </w:r>
      <w:r w:rsidR="00CA66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A6652">
        <w:rPr>
          <w:rFonts w:ascii="Times New Roman" w:hAnsi="Times New Roman"/>
          <w:b/>
          <w:sz w:val="24"/>
          <w:szCs w:val="24"/>
          <w:lang w:val="uk-UA"/>
        </w:rPr>
        <w:t>Скоробогатої</w:t>
      </w:r>
      <w:proofErr w:type="spellEnd"/>
      <w:r w:rsidR="00CA6652">
        <w:rPr>
          <w:rFonts w:ascii="Times New Roman" w:hAnsi="Times New Roman"/>
          <w:b/>
          <w:sz w:val="24"/>
          <w:szCs w:val="24"/>
          <w:lang w:val="uk-UA"/>
        </w:rPr>
        <w:t xml:space="preserve"> Олесі Володимирівни</w:t>
      </w:r>
    </w:p>
    <w:p w:rsidR="00AF737B" w:rsidRDefault="003D495F" w:rsidP="003D4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495F">
        <w:rPr>
          <w:rFonts w:ascii="Times New Roman" w:hAnsi="Times New Roman"/>
          <w:b/>
          <w:sz w:val="24"/>
          <w:szCs w:val="24"/>
          <w:lang w:val="uk-UA"/>
        </w:rPr>
        <w:t xml:space="preserve">щодо стану організації роботи суду </w:t>
      </w:r>
    </w:p>
    <w:p w:rsidR="00202854" w:rsidRDefault="003D495F" w:rsidP="003D4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495F">
        <w:rPr>
          <w:rFonts w:ascii="Times New Roman" w:hAnsi="Times New Roman"/>
          <w:b/>
          <w:sz w:val="24"/>
          <w:szCs w:val="24"/>
          <w:lang w:val="uk-UA"/>
        </w:rPr>
        <w:t>за період з 1 січня по 31 грудня  20</w:t>
      </w:r>
      <w:r w:rsidR="00D565EE">
        <w:rPr>
          <w:rFonts w:ascii="Times New Roman" w:hAnsi="Times New Roman"/>
          <w:b/>
          <w:sz w:val="24"/>
          <w:szCs w:val="24"/>
          <w:lang w:val="uk-UA"/>
        </w:rPr>
        <w:t>2</w:t>
      </w:r>
      <w:r w:rsidR="00B55DB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3D495F">
        <w:rPr>
          <w:rFonts w:ascii="Times New Roman" w:hAnsi="Times New Roman"/>
          <w:b/>
          <w:sz w:val="24"/>
          <w:szCs w:val="24"/>
          <w:lang w:val="uk-UA"/>
        </w:rPr>
        <w:t xml:space="preserve"> року.</w:t>
      </w:r>
    </w:p>
    <w:p w:rsidR="00CA6652" w:rsidRDefault="00CA6652" w:rsidP="007A49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02854" w:rsidRPr="00FB1A3E" w:rsidRDefault="00D565EE" w:rsidP="00375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</w:t>
      </w:r>
      <w:r w:rsidR="00B55DB6">
        <w:rPr>
          <w:rFonts w:ascii="Times New Roman" w:hAnsi="Times New Roman"/>
          <w:sz w:val="24"/>
          <w:szCs w:val="24"/>
          <w:lang w:val="uk-UA"/>
        </w:rPr>
        <w:t>7</w:t>
      </w:r>
      <w:r w:rsidR="00AE2E58" w:rsidRPr="00FB1A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0AD5">
        <w:rPr>
          <w:rFonts w:ascii="Times New Roman" w:hAnsi="Times New Roman"/>
          <w:sz w:val="24"/>
          <w:szCs w:val="24"/>
          <w:lang w:val="uk-UA"/>
        </w:rPr>
        <w:t xml:space="preserve">лютого </w:t>
      </w:r>
      <w:r w:rsidR="00CA6652" w:rsidRPr="00FB1A3E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55DB6">
        <w:rPr>
          <w:rFonts w:ascii="Times New Roman" w:hAnsi="Times New Roman"/>
          <w:sz w:val="24"/>
          <w:szCs w:val="24"/>
          <w:lang w:val="uk-UA"/>
        </w:rPr>
        <w:t>2</w:t>
      </w:r>
      <w:r w:rsidR="00202854" w:rsidRPr="00FB1A3E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</w:t>
      </w:r>
      <w:r w:rsidR="00CA6652" w:rsidRPr="00FB1A3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202854" w:rsidRPr="00FB1A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02854" w:rsidRPr="00FB1A3E">
        <w:rPr>
          <w:rFonts w:ascii="Times New Roman" w:hAnsi="Times New Roman"/>
          <w:sz w:val="24"/>
          <w:szCs w:val="24"/>
          <w:lang w:val="uk-UA"/>
        </w:rPr>
        <w:t>м.Лозова</w:t>
      </w:r>
      <w:proofErr w:type="spellEnd"/>
      <w:r w:rsidR="00CA6652" w:rsidRPr="00FB1A3E">
        <w:rPr>
          <w:rFonts w:ascii="Times New Roman" w:hAnsi="Times New Roman"/>
          <w:sz w:val="24"/>
          <w:szCs w:val="24"/>
          <w:lang w:val="uk-UA"/>
        </w:rPr>
        <w:t>, Харківська область</w:t>
      </w:r>
    </w:p>
    <w:p w:rsidR="00CA6652" w:rsidRPr="00AE2E58" w:rsidRDefault="00CA6652" w:rsidP="007A49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F737B" w:rsidRPr="00C77D51" w:rsidRDefault="00FB1A3E" w:rsidP="00C77D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ст.128 Закону</w:t>
      </w:r>
      <w:r w:rsidRPr="001F570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«Про судоустрій та статус суддів» та на виконання плану роботи </w:t>
      </w:r>
      <w:r w:rsidR="00AF737B">
        <w:rPr>
          <w:rFonts w:ascii="Times New Roman" w:hAnsi="Times New Roman"/>
          <w:sz w:val="24"/>
          <w:szCs w:val="24"/>
          <w:lang w:val="uk-UA"/>
        </w:rPr>
        <w:t>суду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37B">
        <w:rPr>
          <w:rFonts w:ascii="Times New Roman" w:hAnsi="Times New Roman"/>
          <w:sz w:val="24"/>
          <w:szCs w:val="24"/>
          <w:lang w:val="uk-UA"/>
        </w:rPr>
        <w:t>на перше та друге півріччя 20</w:t>
      </w:r>
      <w:r w:rsidR="00260AD5">
        <w:rPr>
          <w:rFonts w:ascii="Times New Roman" w:hAnsi="Times New Roman"/>
          <w:sz w:val="24"/>
          <w:szCs w:val="24"/>
          <w:lang w:val="uk-UA"/>
        </w:rPr>
        <w:t>2</w:t>
      </w:r>
      <w:r w:rsidR="0000186F">
        <w:rPr>
          <w:rFonts w:ascii="Times New Roman" w:hAnsi="Times New Roman"/>
          <w:sz w:val="24"/>
          <w:szCs w:val="24"/>
          <w:lang w:val="uk-UA"/>
        </w:rPr>
        <w:t>1</w:t>
      </w:r>
      <w:r w:rsidR="00AF737B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було підготовлено та складено звіт за підсумками роботи </w:t>
      </w:r>
      <w:proofErr w:type="spellStart"/>
      <w:r w:rsidR="00AF737B">
        <w:rPr>
          <w:rFonts w:ascii="Times New Roman" w:hAnsi="Times New Roman"/>
          <w:sz w:val="24"/>
          <w:szCs w:val="24"/>
          <w:lang w:val="uk-UA"/>
        </w:rPr>
        <w:t>Лозівського</w:t>
      </w:r>
      <w:proofErr w:type="spellEnd"/>
      <w:r w:rsidR="00AF73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737B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="00AF737B">
        <w:rPr>
          <w:rFonts w:ascii="Times New Roman" w:hAnsi="Times New Roman"/>
          <w:sz w:val="24"/>
          <w:szCs w:val="24"/>
          <w:lang w:val="uk-UA"/>
        </w:rPr>
        <w:t xml:space="preserve"> суду Харківської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37B">
        <w:rPr>
          <w:rFonts w:ascii="Times New Roman" w:hAnsi="Times New Roman"/>
          <w:sz w:val="24"/>
          <w:szCs w:val="24"/>
          <w:lang w:val="uk-UA"/>
        </w:rPr>
        <w:t>за період з 1 січня по 31 грудня 20</w:t>
      </w:r>
      <w:r w:rsidR="00D565EE">
        <w:rPr>
          <w:rFonts w:ascii="Times New Roman" w:hAnsi="Times New Roman"/>
          <w:sz w:val="24"/>
          <w:szCs w:val="24"/>
          <w:lang w:val="uk-UA"/>
        </w:rPr>
        <w:t>2</w:t>
      </w:r>
      <w:r w:rsidR="00B55DB6">
        <w:rPr>
          <w:rFonts w:ascii="Times New Roman" w:hAnsi="Times New Roman"/>
          <w:sz w:val="24"/>
          <w:szCs w:val="24"/>
          <w:lang w:val="uk-UA"/>
        </w:rPr>
        <w:t>1</w:t>
      </w:r>
      <w:r w:rsidR="00AF737B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0AD5" w:rsidRDefault="00260AD5" w:rsidP="00793E2F">
      <w:pPr>
        <w:spacing w:after="0"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7D51" w:rsidRPr="00F01CF4" w:rsidRDefault="00C77D51" w:rsidP="00793E2F">
      <w:pPr>
        <w:spacing w:after="0" w:line="240" w:lineRule="auto"/>
        <w:ind w:left="-142" w:firstLine="85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1.Орган</w:t>
      </w:r>
      <w:r w:rsidR="00260AD5"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ізація управлінської діяльності</w:t>
      </w:r>
    </w:p>
    <w:p w:rsidR="00C044E8" w:rsidRPr="00F01CF4" w:rsidRDefault="00C044E8" w:rsidP="00793E2F">
      <w:p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Номенклатура справ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на 2021 рік складена старшим секретарем суду 13.11.2020 р., схвалена на засіданні експертної комісії суду 13.11.2020 (протокол № 9), затверджена наказом голови суду № 05-02/186 від 13.11.2020 року.</w:t>
      </w:r>
    </w:p>
    <w:p w:rsidR="00AF737B" w:rsidRPr="00F01CF4" w:rsidRDefault="005E22F3" w:rsidP="00793E2F">
      <w:p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На 20</w:t>
      </w:r>
      <w:r w:rsidR="00E0082C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33218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 були складені та затвердженні головою суду: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Плани робіт </w:t>
      </w:r>
      <w:proofErr w:type="spellStart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на перше та друге півріччя 20</w:t>
      </w:r>
      <w:r w:rsidR="004054E3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33218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="00D66B23" w:rsidRPr="00F01CF4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 робіт керівника апарату суду </w:t>
      </w:r>
      <w:r w:rsidR="00D66B23" w:rsidRPr="00F01CF4">
        <w:rPr>
          <w:rFonts w:ascii="Times New Roman" w:hAnsi="Times New Roman"/>
          <w:color w:val="000000"/>
          <w:sz w:val="24"/>
          <w:szCs w:val="24"/>
          <w:lang w:val="uk-UA"/>
        </w:rPr>
        <w:t>на 20</w:t>
      </w:r>
      <w:r w:rsidR="004054E3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33218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D66B23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роки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Плани проведення навчань з працівниками </w:t>
      </w:r>
      <w:proofErr w:type="spellStart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на перше та друге півріччя 20</w:t>
      </w:r>
      <w:r w:rsidR="004054E3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33218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</w:t>
      </w:r>
    </w:p>
    <w:p w:rsidR="005E22F3" w:rsidRPr="00F01CF4" w:rsidRDefault="005E22F3" w:rsidP="00793E2F">
      <w:p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На виконання запланованих заходів в суді проводилися перевірки окремих ділянок роботи суду та дотримання працівниками апарату суду вимог діючого законодавства, Інструкцій, які використовуються в діяльності суду, та Положення. За результатами перевірок складенні відповідні довідки, акти, які обговорювалися на оперативних нарадах.</w:t>
      </w:r>
    </w:p>
    <w:p w:rsidR="00AF737B" w:rsidRPr="00F01CF4" w:rsidRDefault="00C77D51" w:rsidP="00793E2F">
      <w:pPr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виконання </w:t>
      </w:r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>План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проведення навчань з працівниками </w:t>
      </w:r>
      <w:proofErr w:type="spellStart"/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на перше та друге півріччя 20</w:t>
      </w:r>
      <w:r w:rsidR="004054E3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33218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керівництвом апарату суду провод</w:t>
      </w:r>
      <w:r w:rsidR="005E22F3" w:rsidRPr="00F01CF4">
        <w:rPr>
          <w:rFonts w:ascii="Times New Roman" w:hAnsi="Times New Roman"/>
          <w:color w:val="000000"/>
          <w:sz w:val="24"/>
          <w:szCs w:val="24"/>
          <w:lang w:val="uk-UA"/>
        </w:rPr>
        <w:t>илися</w:t>
      </w:r>
      <w:r w:rsidR="00AF737B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навчання з працівниками апарату суду: щодо вивчення положень Інструкцій, які використовуються в діяльності суду; щодо вивчення поточного законодавства та змін до нього; щодо роботи в комп’ютерній програмі «Д-3»; щодо вивчення Положення про автоматизовану систему документообігу суду; щодо порядку формування звітності; щодо фіксування судового процесу технічними засобами; щодо ведення архівної справи суду; вивчаються питання з ведення кадрового діловодства; питання щодо роботи із судовим збором; роботи зі зверненнями громадян та інформаційними запитами; щодо порядку роботи електронного суду; щодо організації роботи з ЄДРСР; порядок роботи з документами з грифом «ДСК»; питання щодо виконавчої дисципліни; щодо порядку оформлення документів; щодо правил етичної поведінки; вивчаються керівні роз’яснення вищих ланок судової влади; тощо.</w:t>
      </w:r>
    </w:p>
    <w:p w:rsidR="00260AD5" w:rsidRPr="00B55DB6" w:rsidRDefault="00260AD5" w:rsidP="00C77D5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C77D51" w:rsidRPr="00F01CF4" w:rsidRDefault="00C77D51" w:rsidP="00C77D5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2. Забезпечення реалізації державної політики у сфері державної служби</w:t>
      </w:r>
      <w:r w:rsidR="00260AD5"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 питань управління персоналом</w:t>
      </w:r>
    </w:p>
    <w:p w:rsidR="00C77D51" w:rsidRPr="00F01CF4" w:rsidRDefault="00C77D51" w:rsidP="00C77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звітного періоду 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постійно здійснювалися заходи із забезпечення дотримання вимог чинного законодавства про державну службу.</w:t>
      </w:r>
    </w:p>
    <w:p w:rsidR="00C77D51" w:rsidRPr="00F01CF4" w:rsidRDefault="00C77D51" w:rsidP="00C77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Робота була спрямована на удосконалення, виховання та формування  культури державних службовців, посилення спільної  довіри та відповідальності за неналежне виконання службових обов’язків, постійне вивчення та узагальнення кадрової роботи в апараті  суду, забезпечення раціонального та ефективного розподілу посадових обов’язків.</w:t>
      </w:r>
    </w:p>
    <w:p w:rsidR="00260AD5" w:rsidRPr="00F01CF4" w:rsidRDefault="00C77D51" w:rsidP="005A3E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Протягом 20</w:t>
      </w:r>
      <w:r w:rsidR="004054E3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0186F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="005A3E5F" w:rsidRPr="00F01CF4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DD6638" w:rsidRPr="00F01CF4" w:rsidRDefault="005A3E5F" w:rsidP="005A3E5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звільнено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помічн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ика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судді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угодою сторін відповідно до п.1 ч.1 ст.36 </w:t>
      </w:r>
      <w:proofErr w:type="spellStart"/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КЗпП</w:t>
      </w:r>
      <w:proofErr w:type="spellEnd"/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України,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секретаря судового засідання – за угодою сторін відповідно до ч.2 ст. 86 ЗУ «Про державну службу».</w:t>
      </w:r>
    </w:p>
    <w:p w:rsidR="00DD6638" w:rsidRPr="00F01CF4" w:rsidRDefault="005A3E5F" w:rsidP="00DD6638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прийнято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на вакантну посаду –1 діловода;</w:t>
      </w:r>
    </w:p>
    <w:p w:rsidR="00DD6638" w:rsidRPr="00F01CF4" w:rsidRDefault="00DD6638" w:rsidP="00DD6638">
      <w:pPr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переведено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конкурсом,  по строковому договору на період соціальної відпустки для догляду за дитиною до досягнення нею трирічного віку основного працівника – 1 старший судовий розпорядник.</w:t>
      </w:r>
    </w:p>
    <w:p w:rsidR="00DD6638" w:rsidRPr="00F01CF4" w:rsidRDefault="00DD6638" w:rsidP="00DD6638">
      <w:pPr>
        <w:tabs>
          <w:tab w:val="left" w:pos="-142"/>
        </w:tabs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Крім того, протягом 2021 року</w:t>
      </w:r>
      <w:r w:rsidRPr="00B55DB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судді,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4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помічник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судді,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державних службовців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пройшли навчання за програмами тематичних семінарів у Харківському регіональному відділенні Національної школи суддів України в режимі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онлайн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трансляції через програму «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Zoom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».</w:t>
      </w:r>
    </w:p>
    <w:p w:rsidR="005A3E5F" w:rsidRPr="00F01CF4" w:rsidRDefault="005A3E5F" w:rsidP="00260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Відповідно до ст.38 Закону України «Про державну службу» у 202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 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державним службовцям здійснено присвоєння чергового рангу.</w:t>
      </w:r>
    </w:p>
    <w:p w:rsidR="005A3E5F" w:rsidRPr="00F01CF4" w:rsidRDefault="005A3E5F" w:rsidP="00260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Також, згідно ст.52 Закону України «Про державну службу» </w:t>
      </w:r>
      <w:r w:rsidR="00DD6638" w:rsidRPr="00F01CF4"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державним службовцям встановлено надбавки за вислугу років на державній службі.</w:t>
      </w:r>
    </w:p>
    <w:p w:rsidR="00C77D51" w:rsidRPr="00F01CF4" w:rsidRDefault="00C77D51" w:rsidP="00260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За планом роботи суду на перше та друге півріччя 20</w:t>
      </w:r>
      <w:r w:rsidR="00A56384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3C2A5B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року, мною </w:t>
      </w:r>
      <w:r w:rsidR="003C2A5B" w:rsidRPr="00F01CF4">
        <w:rPr>
          <w:rFonts w:ascii="Times New Roman" w:hAnsi="Times New Roman"/>
          <w:color w:val="000000"/>
          <w:sz w:val="24"/>
          <w:szCs w:val="24"/>
          <w:lang w:val="uk-UA"/>
        </w:rPr>
        <w:t>проводилися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перевірк</w:t>
      </w:r>
      <w:r w:rsidR="003C2A5B" w:rsidRPr="00F01CF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стану справ щодо ведення кадрової роботи та дотримання вимог Законів України «Про державну службу», «Про запобігання  корупції», «Про судоустрій і статус суддів», Кодексу Законів про працю України, Інструкції про порядок ведення трудових книжок працівників тощо.  </w:t>
      </w:r>
    </w:p>
    <w:p w:rsidR="00C77D51" w:rsidRPr="00F01CF4" w:rsidRDefault="00C77D51" w:rsidP="00260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виконання Закону України «Про запобігання  корупції» всі державні службовці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подали декларації за 20</w:t>
      </w:r>
      <w:r w:rsidR="00A56384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6864E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рік,  згідно визначеного законом порядку. В обов’язковому порядку, здійснювалося попередження державних службовців, які звільнялися з посади, щодо подання декларації осіб, уповноважених на виконання функцій держави або місцевого самоврядування, відповідно до ч.2 ст.45 Закону України «Про запобігання  корупції».</w:t>
      </w:r>
    </w:p>
    <w:p w:rsidR="00A56384" w:rsidRPr="00F01CF4" w:rsidRDefault="00A56384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 метою здійснення регулярного контролю щодо виконання державними службовцями покладених на них обов’язків і завдань у жовтні 202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року в суді проведено, у встановленому законодавством порядку, оцінювання службової діяльності державних службовців, які займають посаду державної служби категорії «Б» або «В». Наказом керівника апарату суду від 1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.10.202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№05-04/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69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затверджена організація проведення результатів оцінювання та списки державних службовців, які підлягали оцінюванню  (всього 2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ос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іб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). За результатами оцінювання виставлені підсумко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18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.1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.202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№05-04/</w:t>
      </w:r>
      <w:r w:rsidR="006864EC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Висновки щодо результатів оцінювання службової діяльності державного службовця, який займає посаду державної служби категорії «Б» або «В», долучені до особових справ.</w:t>
      </w:r>
    </w:p>
    <w:p w:rsidR="00260AD5" w:rsidRPr="00F01CF4" w:rsidRDefault="00C77D51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Організація роботи стосовно забезпечення реалізації державної політики у сфері державної служби з питань управління персоналом протягом звітного періоду здійснювалася на належному рівні, із дотриманням вимог Закону України «Про державну службу».</w:t>
      </w:r>
    </w:p>
    <w:p w:rsidR="00260AD5" w:rsidRPr="00B55DB6" w:rsidRDefault="00260AD5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D7B14" w:rsidRPr="00F01CF4" w:rsidRDefault="00543178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3.</w:t>
      </w:r>
      <w:r w:rsidR="00BD7B14"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Робота в </w:t>
      </w: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Автоматизованій системі документообігу суду</w:t>
      </w:r>
    </w:p>
    <w:p w:rsidR="00543178" w:rsidRPr="00F01CF4" w:rsidRDefault="00543178" w:rsidP="00260AD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звітного періоду керівником апарату суду постійно здійснювався контроль за порядком використання Автоматизованої системи документообігу суду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із суворим  дотриманням вимог  Положення про автоматизовану систему документообігу суду.</w:t>
      </w:r>
    </w:p>
    <w:p w:rsidR="00A56384" w:rsidRPr="00F01CF4" w:rsidRDefault="00A56384" w:rsidP="00260A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З 01 січня 2020 року діловодство у 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ведеться згідно Інструкції з діловодства в місцевих  та апеляційних судах України, затвердженої наказом Державної судової адміністрації України від 20.08.2020 року №814 (зі змінами) (далі - Інструкція).</w:t>
      </w:r>
    </w:p>
    <w:p w:rsidR="00543178" w:rsidRPr="00F01CF4" w:rsidRDefault="00543178" w:rsidP="00260AD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Протягом 20</w:t>
      </w:r>
      <w:r w:rsidR="00A56384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6864EC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апаратом суду забезпечувалось ведення діловодства в електронному вигляді за допомогою КП «Д-3» відповідно до </w:t>
      </w:r>
      <w:r w:rsidR="00A56384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Інструкції з діловодства в місцевих  та апеляційних судах України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та Положенням про автоматизовану систему документообігу суду, затвердженого рішенням Ради суддів України від 26 листопада 2010 року №30 (зі змінами).</w:t>
      </w:r>
    </w:p>
    <w:p w:rsidR="00543178" w:rsidRPr="00F01CF4" w:rsidRDefault="00543178" w:rsidP="00260AD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виконання вимог Положення про автоматизовану систему документообігу суду, всі функціональні обов’язки, а також права користувачів автоматизованої системи  були визначені наказами керівника апарату суду. </w:t>
      </w:r>
    </w:p>
    <w:p w:rsidR="00543178" w:rsidRPr="00F01CF4" w:rsidRDefault="00543178" w:rsidP="00260AD5">
      <w:pPr>
        <w:pStyle w:val="a3"/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Відповідно до п.2.1. Положення, надання та позбавлення  права доступу до автоматизованої системи працівникам апарату суду здійснювалося своєчасно, на підставі наказів керівника апарату суду, електронні примірники яких внесені до КП «Д-3».</w:t>
      </w:r>
    </w:p>
    <w:p w:rsidR="00260AD5" w:rsidRPr="00F01CF4" w:rsidRDefault="00543178" w:rsidP="00260AD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Усі документи, що надходили до суду, реєструвалися в комп’ютерній програмі «Д-3». Реєстрація вхідної кореспонденції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здійснювалася відповідно до вимог п. 2.2. Положення.</w:t>
      </w:r>
    </w:p>
    <w:p w:rsidR="00543178" w:rsidRPr="00F01CF4" w:rsidRDefault="00543178" w:rsidP="00260AD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На кожний вхідний документ, у тому числі процесуальний, у автоматизованій системі в суді створювалася реєстраційна картка, яка містила інформацію щодо реквізитів та руху документа, що відповідає  вимогам п. п.  2.2.2 Положення.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Приймання та реєстрація документів забезпечувалося канцелярією суду.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На підставі даних автоматизованої системи документообігу суду КП «Д-3» у звітному періоді зареєстровано: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- вхідної кореспонденції – 23</w:t>
      </w:r>
      <w:r w:rsidR="006864EC" w:rsidRPr="00F01CF4">
        <w:rPr>
          <w:rFonts w:ascii="Times New Roman" w:hAnsi="Times New Roman"/>
          <w:color w:val="000000"/>
          <w:sz w:val="24"/>
          <w:szCs w:val="24"/>
          <w:lang w:val="uk-UA"/>
        </w:rPr>
        <w:t>996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вхідної електронної кореспонденції – </w:t>
      </w:r>
      <w:r w:rsidR="006864EC" w:rsidRPr="00F01CF4">
        <w:rPr>
          <w:rFonts w:ascii="Times New Roman" w:hAnsi="Times New Roman"/>
          <w:color w:val="000000"/>
          <w:sz w:val="24"/>
          <w:szCs w:val="24"/>
          <w:lang w:val="uk-UA"/>
        </w:rPr>
        <w:t>4171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вихідної простої кореспонденції – 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9220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вихідної рекомендованої кореспонденції –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11375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вихідної електронної кореспонденції –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1293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Крім того, судом отримано та зареєстровано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126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 поданих в електронному вигляді через особистий кабінет користувачів підсистеми «Електронний суд».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Введено до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комп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</w:rPr>
        <w:t>’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ютерної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програми «Д-3» карток: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 кримінальним справам - 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1700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 адміністративним справам  - 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31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 цивільним справам  -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3721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1D359C" w:rsidRPr="00F01CF4" w:rsidRDefault="001D359C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 справам про адміністративні правопорушення – 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1452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20F25" w:rsidRPr="00F01CF4" w:rsidRDefault="00543178" w:rsidP="00260AD5">
      <w:pPr>
        <w:pStyle w:val="a3"/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Авторозподіл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судових справ у суді здійснювався згідно з вимогами Положення про автоматизовану систему документообігу суду, Засад використання автоматизованої системи документообігу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області, а також з урахуванням  дотримання правил поєднання судових справ.</w:t>
      </w:r>
    </w:p>
    <w:p w:rsidR="00C20F25" w:rsidRPr="00F01CF4" w:rsidRDefault="00C20F25" w:rsidP="00260A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Протягом 202</w:t>
      </w:r>
      <w:r w:rsidR="006569B3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до суду надійшло:</w:t>
      </w:r>
    </w:p>
    <w:p w:rsidR="00C20F25" w:rsidRPr="00B55DB6" w:rsidRDefault="00C20F25" w:rsidP="00C20F25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229"/>
        <w:gridCol w:w="231"/>
        <w:gridCol w:w="974"/>
        <w:gridCol w:w="1229"/>
        <w:gridCol w:w="231"/>
        <w:gridCol w:w="1067"/>
        <w:gridCol w:w="1229"/>
        <w:gridCol w:w="231"/>
        <w:gridCol w:w="982"/>
        <w:gridCol w:w="1229"/>
      </w:tblGrid>
      <w:tr w:rsidR="00B55DB6" w:rsidRPr="00B55DB6" w:rsidTr="00F230CF">
        <w:trPr>
          <w:trHeight w:val="673"/>
        </w:trPr>
        <w:tc>
          <w:tcPr>
            <w:tcW w:w="2296" w:type="dxa"/>
            <w:gridSpan w:val="2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Цивільних справ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Кримінальних справ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Адміністративних справ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Справ про адміністративне правопорушення</w:t>
            </w: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B55DB6" w:rsidRPr="00B55DB6" w:rsidTr="00F230CF">
        <w:trPr>
          <w:trHeight w:val="375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1502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1-кп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276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1392</w:t>
            </w: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2-з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1-кс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3-в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2-н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1710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04177B" w:rsidP="00E23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E23677"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2-о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C20F25" w:rsidP="00E23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E23677"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1-о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2-п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2-с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2-д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4-с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5DB6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E23677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230CF" w:rsidRPr="00B55DB6" w:rsidTr="00F230CF">
        <w:trPr>
          <w:trHeight w:val="20"/>
        </w:trPr>
        <w:tc>
          <w:tcPr>
            <w:tcW w:w="1067" w:type="dxa"/>
            <w:shd w:val="clear" w:color="auto" w:fill="auto"/>
            <w:vAlign w:val="center"/>
          </w:tcPr>
          <w:p w:rsidR="00C20F25" w:rsidRPr="00F01CF4" w:rsidRDefault="00C20F25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20F25" w:rsidRPr="00F01CF4" w:rsidRDefault="0004177B" w:rsidP="00F230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1C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25" w:rsidRPr="00B55DB6" w:rsidRDefault="00C20F25" w:rsidP="00F230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260AD5" w:rsidRPr="00B55DB6" w:rsidRDefault="00260AD5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Справи передавалися суддям не пізніше наступного дня після реєстрації та автоматизованого розподілу. Справи, які розглядаються невідкладно, передавалися суддям одразу, після реєстрації та внесення інформації до ОСК.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Реєстрація та автоматизований розподіл судових справ проводився своєчасно. Порушень строків передачі справ суддям не було.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Апаратом суду постійно і своєчасно забезпечувалося внесення до автоматизованої системи достовірних даних.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виконання плану роботи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на перше та друге півріччя 20</w:t>
      </w:r>
      <w:r w:rsidR="00E11E33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керівником апарату здійснено 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перевір</w:t>
      </w:r>
      <w:r w:rsidR="00E11E33" w:rsidRPr="00F01CF4">
        <w:rPr>
          <w:rFonts w:ascii="Times New Roman" w:hAnsi="Times New Roman"/>
          <w:color w:val="000000"/>
          <w:sz w:val="24"/>
          <w:szCs w:val="24"/>
          <w:lang w:val="uk-UA"/>
        </w:rPr>
        <w:t>ок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щодо правильності реєстрації документів в КП «Діловодство-3»; порядку реєстрації справ у контрольних журналах судових справ і матеріалів, переданих для розгляду судді; ведення журналу розгляду справ і матеріалів; термінів передання справ до канцелярії суду, своєчасності відправки судових рішень до ЄДРСР; своєчасності внесення відомостей про набрання судовим рішенням законної сили.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З метою  дотримання та поліпшення рівня виконавчої дисципліни, результати перевірок обговорювалися на оперативних нарадах. </w:t>
      </w:r>
    </w:p>
    <w:p w:rsidR="00260AD5" w:rsidRPr="00B55DB6" w:rsidRDefault="00260AD5" w:rsidP="0054317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4. Організація роботи з ведення судової статистики, діловодства та архівної справи у місцевих судах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Упродовж 20</w:t>
      </w:r>
      <w:r w:rsidR="00E11E33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E90971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року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суді Харківської області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організація роботи з ведення судової статистики, діловодства та архівної справи у місцевих судах здійснювалася на належному рівні, із дотриманням вимог </w:t>
      </w:r>
      <w:r w:rsidR="00E11E33" w:rsidRPr="00F01CF4">
        <w:rPr>
          <w:rFonts w:ascii="Times New Roman" w:hAnsi="Times New Roman"/>
          <w:color w:val="000000"/>
          <w:sz w:val="24"/>
          <w:szCs w:val="24"/>
          <w:lang w:val="uk-UA"/>
        </w:rPr>
        <w:t>Інструкції з діловодства в місцевих  та апеляційних судах України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Положенням про автоматизовану систему документообігу суду, 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Інструкції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суду тощо.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Первинний облік документів, забезпечення збору та формування статистичної інформації, а також складання звітності  у суді забезпечувався старшим секретарем і канцелярією суду, здійснення статистичних спостережень щодо розгляду справ, проведення узагальнень, аналізів отриманих даних - консультантами суду. </w:t>
      </w:r>
    </w:p>
    <w:p w:rsidR="00543178" w:rsidRPr="00F01CF4" w:rsidRDefault="00543178" w:rsidP="00A600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 виконання наказів  Державної судової адміністрації України від </w:t>
      </w:r>
      <w:r w:rsidR="00A6005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21.12.2012 №172</w:t>
      </w:r>
      <w:r w:rsidR="00C84AD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(зі змінами)</w:t>
      </w:r>
      <w:r w:rsidR="00A6005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09.03.2017 №311</w:t>
      </w:r>
      <w:r w:rsidR="00C84AD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(зі змінами)</w:t>
      </w:r>
      <w:r w:rsidR="00A6005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23.06.2018 року №325 (</w:t>
      </w:r>
      <w:r w:rsidR="00667441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зі змінами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C84AD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28.11.2019 №1149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суді Харківської області було своєчасно складено та направлено до ТУ ДСА України у Харківській області статистичні річні звіти за формою №№ 1-а, 1-п, 1-к, 1-ц, 6-8, 1-мзс, 10, 1-Л</w:t>
      </w:r>
      <w:r w:rsidR="00C84AD6"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Крім того,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без зауважень та в строки, визначені наказами Державної судової адміністрації України, ТУ ДСА України у Харківській області, виконувалися квартальні звіти (1-мзс, 10, 1-Л</w:t>
      </w:r>
      <w:r w:rsidR="00C84AD6" w:rsidRPr="00F01CF4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); надавалися акти звірки карток на осіб, вироки щодо яких набрали законної сили; 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готувалася інформація про розгляд справ за участю присяжних; щодо наповнення офіційної веб-сторінки суду; про стан виконання Плану заходів щодо вдосконалення процедури фіксування судового засідання технічними засобами.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Протягом року кожного місяця постійно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здійснювався контроль за своєчасним і повним наданням інформації до ТУ ДСА України у Харківській області стосовно  відомостей щодо проведення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відеоконференцій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поточний місяць;  відомостей щодо кількості осіб, які оголошені судом у розшук; кількості кримінальних справ та проваджень, які розглядаються, перебувають у провадженні суду понад 1 рік, понад 2 роки; відомостей про державних службовців органів виконавчої влади та посадових осіб органів місцевого самоврядування</w:t>
      </w:r>
      <w:r w:rsidRPr="00F01CF4">
        <w:rPr>
          <w:rFonts w:ascii="Times New Roman" w:hAnsi="Times New Roman"/>
          <w:color w:val="000000"/>
          <w:sz w:val="24"/>
          <w:szCs w:val="24"/>
        </w:rPr>
        <w:t> 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притягнутих судами до відповідальності за корупційні діяння.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Щомісяця здійснювалося своєчасне направлення до Харківського апеляційного суду інформації щодо застосування окремих норм КПК судами першої та апеляційної інстанції при розгляді кримінальних проваджень; інформації про кількість осіб, які знаходяться під вартою в СІЗО та рахуються за судом до винесення вироку; про кількість осіб, які знаходяться під вартою в СІЗО та рахуються за судом після винесення вироку; які </w:t>
      </w: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знаходяться під вартою в СІЗО та рахуються за судом під час ознайомлення з матеріалами справи.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метою покращення якості та ефективності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обліков-статистичної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роботи у суді проводилася аналітична робота з найбільш актуальних питань, що виникають під час реєстрації судових справ і матеріалів та складання звітів, заходи по вивченню нормативно-правових актів, що регламентують роботу апарату суду.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HelveticaNeueCyr-Roman" w:hAnsi="HelveticaNeueCyr-Roman"/>
          <w:color w:val="000000"/>
          <w:shd w:val="clear" w:color="auto" w:fill="FFFFFF"/>
        </w:rPr>
      </w:pPr>
      <w:r w:rsidRPr="00F01CF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 результатами досліджень проводилися оперативні наради, на яких обговорювалися напрямки діяльності щодо поліпшення цієї ділянки роботи.</w:t>
      </w:r>
      <w:r w:rsidRPr="00F01CF4">
        <w:rPr>
          <w:rFonts w:ascii="HelveticaNeueCyr-Roman" w:hAnsi="HelveticaNeueCyr-Roman"/>
          <w:color w:val="000000"/>
          <w:shd w:val="clear" w:color="auto" w:fill="FFFFFF"/>
        </w:rPr>
        <w:t>  </w:t>
      </w:r>
      <w:r w:rsidRPr="00F01CF4">
        <w:rPr>
          <w:rFonts w:ascii="HelveticaNeueCyr-Roman" w:hAnsi="HelveticaNeueCyr-Roman"/>
          <w:color w:val="000000"/>
          <w:shd w:val="clear" w:color="auto" w:fill="FFFFFF"/>
          <w:lang w:val="uk-UA"/>
        </w:rPr>
        <w:t xml:space="preserve">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Протягом 20</w:t>
      </w:r>
      <w:r w:rsidR="00C84AD6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проводилися заходи з упорядкування архіву суду.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Графіку передання судових справ та інших матеріалів до архіву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суду, затвердженого наказом керівника апарату суду від </w:t>
      </w:r>
      <w:r w:rsidR="0000186F" w:rsidRPr="00F01CF4">
        <w:rPr>
          <w:rFonts w:ascii="Times New Roman" w:hAnsi="Times New Roman"/>
          <w:color w:val="000000"/>
          <w:sz w:val="24"/>
          <w:szCs w:val="24"/>
          <w:lang w:val="uk-UA"/>
        </w:rPr>
        <w:t>28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00186F" w:rsidRPr="00F01CF4"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 w:rsidR="008E4F41" w:rsidRPr="00F01CF4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№05-02/</w:t>
      </w:r>
      <w:r w:rsidR="0000186F" w:rsidRPr="00F01CF4">
        <w:rPr>
          <w:rFonts w:ascii="Times New Roman" w:hAnsi="Times New Roman"/>
          <w:color w:val="000000"/>
          <w:sz w:val="24"/>
          <w:szCs w:val="24"/>
          <w:lang w:val="uk-UA"/>
        </w:rPr>
        <w:t>212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, розглянуті та закінчені діловодством справи всіх категорій, номенклатурні справи за 20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  до 01 квітня 20</w:t>
      </w:r>
      <w:r w:rsidR="00C84AD6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були передані за описами для зберігання до архіву суду.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В архіві суду зберігаються судові справи за роками в порядку зростання номерів, а також окремо зберігаються справи постійного строку зберігання та особові справи.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звітного періоду проведено роботу по знищенню документів, не внесених до Національного архівного фонду, про що складено відповідні акти та описи.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Всі акти схвалені на засіданнях експертної комісії суду, погоджені на засіданнях  експертно-перевірної комісії Державного архіву Харківської області та затверджені головою суду. З цього питання у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 було проведено 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засідань експертної комісії.</w:t>
      </w:r>
    </w:p>
    <w:p w:rsidR="00543178" w:rsidRPr="00F01CF4" w:rsidRDefault="00774181" w:rsidP="00AE7B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>.10.20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складено Паспорт архіву </w:t>
      </w:r>
      <w:proofErr w:type="spellStart"/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області, який 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25</w:t>
      </w:r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>.10.20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90971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направлено до  архівного відділу  </w:t>
      </w:r>
      <w:proofErr w:type="spellStart"/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Лозівської</w:t>
      </w:r>
      <w:proofErr w:type="spellEnd"/>
      <w:r w:rsidR="0054317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РДА Харківської області.</w:t>
      </w:r>
    </w:p>
    <w:p w:rsidR="00E90971" w:rsidRDefault="00E90971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5. Розгляд звернень громадян з питань, що належать до повноважень місцевого суду, виявлення причин та умов, що породжують заяви та скарги громадян, вжити заходів до їх усунення; забезпечення розгляду запитів на отримання публічної інформації, забезпечення доступу до публічної інформації.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Організація роботи зі звернення громадян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 Харківської області протягом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здійснювалася відповідно до Конституції України, Закону України «Про звернення громадян» від 02.10.1996 року №393, Законів України «Про статус народного депутата України», «Про статус депутатів місцевих рад»,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№348 тощо.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Всі звернення які надходили до суду реєструвалися в КП «Д-3» та журналі обліку надходжень звернень (заяв, скарг, пропозицій) до суду.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Постійно здійснювався контроль за своєчасним наданням відповідей по зверненням, який покладено на консультанта суду –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Ліцман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Аліну Геннадіївну, відповідно до службових обов’язків, затверджених наказом голови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за №07-49/23  від 16.06.2009 року.</w:t>
      </w:r>
    </w:p>
    <w:p w:rsidR="00931B58" w:rsidRPr="00F01CF4" w:rsidRDefault="0054317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Всі вимоги передбачені законодавством по оформленню провадження за зверненням, виконувався в повному обсязі. При здійсненні контролю особлива увага зверталася на строки й повноту розгляду порушених питань, об’єктивність перевірки звернень, законність і обґрунтованість прийнятих за ними рішень, своєчасність їх виконання і направлення відповідей заявникам. </w:t>
      </w:r>
    </w:p>
    <w:p w:rsidR="00931B58" w:rsidRPr="00F01CF4" w:rsidRDefault="00931B5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За період з 1 січня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по 3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грудня 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включно до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надійшло 1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звернень.</w:t>
      </w:r>
    </w:p>
    <w:p w:rsidR="00931B58" w:rsidRPr="00F01CF4" w:rsidRDefault="00931B5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З них до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у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 надійшло:</w:t>
      </w:r>
    </w:p>
    <w:p w:rsidR="00DC5618" w:rsidRPr="00F01CF4" w:rsidRDefault="00931B5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- скарг 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3,</w:t>
      </w:r>
    </w:p>
    <w:p w:rsidR="00DC5618" w:rsidRPr="00F01CF4" w:rsidRDefault="00931B5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- заяв (пропозицій) - 1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31B58" w:rsidRPr="00F01CF4" w:rsidRDefault="00931B5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Кількість звернень, які надійшли від: громадян - 1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; юридичних осіб - 0.</w:t>
      </w:r>
    </w:p>
    <w:p w:rsidR="00931B58" w:rsidRPr="00F01CF4" w:rsidRDefault="00931B5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Серед вищенаведених звернень, які надійшли до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1 звернення надійшло повторно.</w:t>
      </w:r>
    </w:p>
    <w:p w:rsidR="00543178" w:rsidRPr="00F01CF4" w:rsidRDefault="00543178" w:rsidP="00931B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свідчить, що основною причиною звернень були питання пов’язані з тривалим розглядом справ, організацію роботу суду, виконанням рішення суду тощо.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На всі звернення надано відповіді без порушення терміну передбаченого законодавством.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Звернення, які стосувалися етичної поведінки працівників апарату суду, організації роботи суду, обговорювалися на оперативних нарадах, на яких приділялась значна увага питанню поліпшення виконавчої дисципліни, дотриманню термінів</w:t>
      </w:r>
      <w:r w:rsidR="00931B58" w:rsidRPr="00F01C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розгляду звернень громадян, якості наданих відповідей, здійснювалися перевірки по фактам викладених у зверненнях.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Також, протягом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23677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проводилася робота із запитами про доступ до публічної інформації, згідно з вимогами Закону України «Про доступ до публічної інформації».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З 01.01.20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по 31.1</w:t>
      </w:r>
      <w:r w:rsidR="00931B5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до суду надійшло 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запитів, які зареєстровані у журналі реєстрації запитів на отримання публічної інформації.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Усі запити були своєчасно розглянуті.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Крім того,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належним чином здійснювалося інформаційне забезпечення відвідувачів суду.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дошці оголошень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 постійно оновлювалася корисна інформація для громадян. Зокрема, стосовно питань, пов’язаних з поданням апеляційної та касаційної скарг, реквізити сплати судового збору, застави, графік прийому громадян керівництвом суду, списки, призначених до розгляду справ, зразки заяв, інша корисна інформація.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Крім того, протягом звітного періоду 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міськрайонному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суді Харківської області робота по забезпеченню розміщенню інформації на власній веб-сторінці, яка функціонує на офіційному веб-порталі «Судова влада України», була організована належним чином, шляхом  постійного оновлення та контролю за даним напрямком роботи. 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обов’язків головного спеціаліста із забезпечення зв’язків з засобами масової інформації (прес-секретаря) покладено на </w:t>
      </w:r>
      <w:r w:rsidR="00931B58" w:rsidRPr="00F01CF4">
        <w:rPr>
          <w:rFonts w:ascii="Times New Roman" w:hAnsi="Times New Roman"/>
          <w:color w:val="000000"/>
          <w:sz w:val="24"/>
          <w:szCs w:val="24"/>
          <w:lang w:val="uk-UA"/>
        </w:rPr>
        <w:t>консультанта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</w:t>
      </w:r>
      <w:proofErr w:type="spellStart"/>
      <w:r w:rsidR="00931B58" w:rsidRPr="00F01CF4">
        <w:rPr>
          <w:rFonts w:ascii="Times New Roman" w:hAnsi="Times New Roman"/>
          <w:color w:val="000000"/>
          <w:sz w:val="24"/>
          <w:szCs w:val="24"/>
          <w:lang w:val="uk-UA"/>
        </w:rPr>
        <w:t>Комісаренко</w:t>
      </w:r>
      <w:proofErr w:type="spellEnd"/>
      <w:r w:rsidR="00931B58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Юлію Сергіївна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43178" w:rsidRPr="00F01CF4" w:rsidRDefault="00543178" w:rsidP="005431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Так, за з </w:t>
      </w:r>
      <w:r w:rsidR="00E673F3" w:rsidRPr="00F01CF4">
        <w:rPr>
          <w:rFonts w:ascii="Times New Roman" w:hAnsi="Times New Roman"/>
          <w:color w:val="000000"/>
          <w:sz w:val="24"/>
          <w:szCs w:val="24"/>
          <w:lang w:val="uk-UA"/>
        </w:rPr>
        <w:t>01 січня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E673F3"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по </w:t>
      </w:r>
      <w:r w:rsidR="00E673F3" w:rsidRPr="00F01CF4">
        <w:rPr>
          <w:rFonts w:ascii="Times New Roman" w:hAnsi="Times New Roman"/>
          <w:color w:val="000000"/>
          <w:sz w:val="24"/>
          <w:szCs w:val="24"/>
          <w:lang w:val="uk-UA"/>
        </w:rPr>
        <w:t>31 грудня 20</w:t>
      </w:r>
      <w:r w:rsidR="00DC5618" w:rsidRPr="00F01CF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було розміщено </w:t>
      </w:r>
      <w:r w:rsidR="00793E2F" w:rsidRPr="00F01CF4">
        <w:rPr>
          <w:rFonts w:ascii="Times New Roman" w:hAnsi="Times New Roman"/>
          <w:color w:val="000000"/>
          <w:sz w:val="24"/>
          <w:szCs w:val="24"/>
          <w:lang w:val="uk-UA"/>
        </w:rPr>
        <w:t>327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публікацій.</w:t>
      </w:r>
    </w:p>
    <w:p w:rsidR="00E673F3" w:rsidRPr="00F01CF4" w:rsidRDefault="00543178" w:rsidP="00701E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Інформаційні матеріали є доступними та зрозумілими для широкого загалу користувачів.</w:t>
      </w:r>
    </w:p>
    <w:p w:rsidR="00260AD5" w:rsidRPr="00B55DB6" w:rsidRDefault="00260AD5" w:rsidP="00701E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74295" w:rsidRPr="00F01CF4" w:rsidRDefault="00E673F3" w:rsidP="00701EC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6</w:t>
      </w:r>
      <w:r w:rsidR="00D74295"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. Контроль за наявністю та зберіганням товаро-матеріальних цінностей суду та про</w:t>
      </w:r>
      <w:r w:rsidR="00DC5618" w:rsidRPr="00F01CF4">
        <w:rPr>
          <w:rFonts w:ascii="Times New Roman" w:hAnsi="Times New Roman"/>
          <w:b/>
          <w:color w:val="000000"/>
          <w:sz w:val="24"/>
          <w:szCs w:val="24"/>
          <w:lang w:val="uk-UA"/>
        </w:rPr>
        <w:t>ведення щорічної інвентаризації</w:t>
      </w:r>
    </w:p>
    <w:p w:rsidR="00DC5618" w:rsidRPr="00F01CF4" w:rsidRDefault="00DC561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У період з 01.0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.202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по 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31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.12.202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постійно здійснювався контроль за наявністю та зберіганням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товаро-матеріальних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цінностей.</w:t>
      </w:r>
    </w:p>
    <w:p w:rsidR="00DC5618" w:rsidRPr="00F01CF4" w:rsidRDefault="00DC561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Своєчасно і правильно оформлялися документи, пов’язані з  надходженням, переміщенням та вибуттям матеріальних цінностей.</w:t>
      </w:r>
    </w:p>
    <w:p w:rsidR="00DC5618" w:rsidRPr="00F01CF4" w:rsidRDefault="00DC561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Протягом звітного періоду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Лозівським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міськрайонним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судом Харківської області здійснювалося списання основних засобів у порядку, визначеному законодавством.</w:t>
      </w:r>
    </w:p>
    <w:p w:rsidR="00DC5618" w:rsidRPr="00F01CF4" w:rsidRDefault="00DC5618" w:rsidP="00DC5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списання вносилася до актів та передавалася до бухгалтерської служби для перенесення інформації до облікових регістрів, про що робилася відмітка.</w:t>
      </w:r>
    </w:p>
    <w:p w:rsidR="00DC5618" w:rsidRPr="00F01CF4" w:rsidRDefault="00DC5618" w:rsidP="00DC5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Зокрема, протягом звітного періоду були списана комп’ютерна та інша техніка, яка не підлягала ремонту (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вересень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202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року),</w:t>
      </w:r>
      <w:r w:rsidRPr="00B55DB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компакт-диски CD-R, DVD-R (щомісяця 202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року),</w:t>
      </w:r>
      <w:r w:rsidRPr="00B55DB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малоцінні та швидкозношувані  предмети (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січень, березень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року).</w:t>
      </w:r>
    </w:p>
    <w:p w:rsidR="00DC5618" w:rsidRPr="00F01CF4" w:rsidRDefault="00DC561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З метою контролю за наявністю та зберіганням матеріальних цінностей, а також у разі зміни користувача та місцезнаходження основних засобів, у суді ведеться Журнал обліку матеріальних цінностей  (номенклатурний номер 12-23), в якому відображені дані про місце зберігання, інвентарний номер, кількість, прізвище та посада користувача.</w:t>
      </w:r>
    </w:p>
    <w:p w:rsidR="00DC5618" w:rsidRPr="00F01CF4" w:rsidRDefault="00DC561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Журнал ведеться завідувачем господарства і щокварталу, надається керівнику апарату для перевірки відповідності внесеної інформації.  </w:t>
      </w:r>
    </w:p>
    <w:p w:rsidR="00DC5618" w:rsidRPr="00F01CF4" w:rsidRDefault="00DC5618" w:rsidP="00DC56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На виконання наказу територіального управління Державної судової адміністрації  України у Харківській області від 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26.10.2021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№01-06/</w:t>
      </w:r>
      <w:r w:rsidR="00B55DB6" w:rsidRPr="00F01CF4">
        <w:rPr>
          <w:rFonts w:ascii="Times New Roman" w:hAnsi="Times New Roman"/>
          <w:color w:val="000000"/>
          <w:sz w:val="24"/>
          <w:szCs w:val="24"/>
          <w:lang w:val="uk-UA"/>
        </w:rPr>
        <w:t>65</w:t>
      </w:r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було здійснено інвентаризацію активів та зобов’язань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Лозівського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>міськрайонного</w:t>
      </w:r>
      <w:proofErr w:type="spellEnd"/>
      <w:r w:rsidRPr="00F01CF4">
        <w:rPr>
          <w:rFonts w:ascii="Times New Roman" w:hAnsi="Times New Roman"/>
          <w:color w:val="000000"/>
          <w:sz w:val="24"/>
          <w:szCs w:val="24"/>
          <w:lang w:val="uk-UA"/>
        </w:rPr>
        <w:t xml:space="preserve"> суду Харківської області. Всі цінності, які надійшли до суду, оприбутковані та знаходяться на моєму відповідальному зберіганні. </w:t>
      </w:r>
    </w:p>
    <w:p w:rsidR="00AA589C" w:rsidRPr="00B55DB6" w:rsidRDefault="00AA589C" w:rsidP="00DB015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260AD5" w:rsidRPr="00AE2E58" w:rsidRDefault="00260AD5" w:rsidP="00DB0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2854" w:rsidRPr="00AE2E58" w:rsidRDefault="00DB0159" w:rsidP="00276B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2E58">
        <w:rPr>
          <w:rFonts w:ascii="Times New Roman" w:hAnsi="Times New Roman"/>
          <w:b/>
          <w:sz w:val="24"/>
          <w:szCs w:val="24"/>
          <w:lang w:val="uk-UA"/>
        </w:rPr>
        <w:t>К</w:t>
      </w:r>
      <w:r w:rsidR="00202854" w:rsidRPr="00AE2E58">
        <w:rPr>
          <w:rFonts w:ascii="Times New Roman" w:hAnsi="Times New Roman"/>
          <w:b/>
          <w:sz w:val="24"/>
          <w:szCs w:val="24"/>
          <w:lang w:val="uk-UA"/>
        </w:rPr>
        <w:t xml:space="preserve">ерівника апарату </w:t>
      </w:r>
    </w:p>
    <w:p w:rsidR="00202854" w:rsidRPr="00AE2E58" w:rsidRDefault="00202854" w:rsidP="00276B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E2E58">
        <w:rPr>
          <w:rFonts w:ascii="Times New Roman" w:hAnsi="Times New Roman"/>
          <w:b/>
          <w:sz w:val="24"/>
          <w:szCs w:val="24"/>
          <w:lang w:val="uk-UA"/>
        </w:rPr>
        <w:t>Лозівського</w:t>
      </w:r>
      <w:proofErr w:type="spellEnd"/>
      <w:r w:rsidRPr="00AE2E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E2E58">
        <w:rPr>
          <w:rFonts w:ascii="Times New Roman" w:hAnsi="Times New Roman"/>
          <w:b/>
          <w:sz w:val="24"/>
          <w:szCs w:val="24"/>
          <w:lang w:val="uk-UA"/>
        </w:rPr>
        <w:t>міськрайонного</w:t>
      </w:r>
      <w:proofErr w:type="spellEnd"/>
      <w:r w:rsidRPr="00AE2E58">
        <w:rPr>
          <w:rFonts w:ascii="Times New Roman" w:hAnsi="Times New Roman"/>
          <w:b/>
          <w:sz w:val="24"/>
          <w:szCs w:val="24"/>
          <w:lang w:val="uk-UA"/>
        </w:rPr>
        <w:t xml:space="preserve"> суду</w:t>
      </w:r>
    </w:p>
    <w:p w:rsidR="00202854" w:rsidRPr="00AE2E58" w:rsidRDefault="00202854" w:rsidP="00BC09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2E58">
        <w:rPr>
          <w:rFonts w:ascii="Times New Roman" w:hAnsi="Times New Roman"/>
          <w:b/>
          <w:sz w:val="24"/>
          <w:szCs w:val="24"/>
          <w:lang w:val="uk-UA"/>
        </w:rPr>
        <w:t xml:space="preserve">Харківської області                                                                </w:t>
      </w:r>
      <w:r w:rsidR="00B55DB6">
        <w:rPr>
          <w:rFonts w:ascii="Times New Roman" w:hAnsi="Times New Roman"/>
          <w:b/>
          <w:sz w:val="24"/>
          <w:szCs w:val="24"/>
          <w:lang w:val="uk-UA"/>
        </w:rPr>
        <w:t>Олеся СКОРОБОГАТА</w:t>
      </w:r>
    </w:p>
    <w:p w:rsidR="00641647" w:rsidRPr="00AE2E58" w:rsidRDefault="00641647" w:rsidP="00BC09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1647" w:rsidRPr="00AE2E58" w:rsidRDefault="00641647" w:rsidP="00BC09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sectPr w:rsidR="00641647" w:rsidRPr="00AE2E58" w:rsidSect="00260AD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427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867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2EF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2A2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6E5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A89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6A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D0F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A8F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1EC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/>
        <w:sz w:val="18"/>
      </w:rPr>
    </w:lvl>
  </w:abstractNum>
  <w:abstractNum w:abstractNumId="11">
    <w:nsid w:val="09C463F7"/>
    <w:multiLevelType w:val="hybridMultilevel"/>
    <w:tmpl w:val="6C3CA0F6"/>
    <w:lvl w:ilvl="0" w:tplc="17C40050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1E64D61"/>
    <w:multiLevelType w:val="hybridMultilevel"/>
    <w:tmpl w:val="79AC3190"/>
    <w:lvl w:ilvl="0" w:tplc="8898AAB0">
      <w:start w:val="1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16805D4F"/>
    <w:multiLevelType w:val="hybridMultilevel"/>
    <w:tmpl w:val="BE0EBB40"/>
    <w:lvl w:ilvl="0" w:tplc="8898AAB0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1D524BC"/>
    <w:multiLevelType w:val="hybridMultilevel"/>
    <w:tmpl w:val="ED50A5E6"/>
    <w:lvl w:ilvl="0" w:tplc="32D20B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9723D5"/>
    <w:multiLevelType w:val="hybridMultilevel"/>
    <w:tmpl w:val="B9907D02"/>
    <w:lvl w:ilvl="0" w:tplc="DED4F45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69B2448"/>
    <w:multiLevelType w:val="hybridMultilevel"/>
    <w:tmpl w:val="A412D45A"/>
    <w:lvl w:ilvl="0" w:tplc="83C81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FF722C4"/>
    <w:multiLevelType w:val="hybridMultilevel"/>
    <w:tmpl w:val="FD70496E"/>
    <w:lvl w:ilvl="0" w:tplc="1D8ABAE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8">
    <w:nsid w:val="462251CA"/>
    <w:multiLevelType w:val="hybridMultilevel"/>
    <w:tmpl w:val="C5B653EA"/>
    <w:lvl w:ilvl="0" w:tplc="12AA63B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01741C3"/>
    <w:multiLevelType w:val="hybridMultilevel"/>
    <w:tmpl w:val="FA94A442"/>
    <w:lvl w:ilvl="0" w:tplc="B3B4A58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FF37F3E"/>
    <w:multiLevelType w:val="hybridMultilevel"/>
    <w:tmpl w:val="73AE729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55C27C2"/>
    <w:multiLevelType w:val="hybridMultilevel"/>
    <w:tmpl w:val="8E92F5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6CB0CF9"/>
    <w:multiLevelType w:val="hybridMultilevel"/>
    <w:tmpl w:val="D3B43C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797296B"/>
    <w:multiLevelType w:val="hybridMultilevel"/>
    <w:tmpl w:val="E77C08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1"/>
  </w:num>
  <w:num w:numId="5">
    <w:abstractNumId w:val="17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12"/>
  </w:num>
  <w:num w:numId="11">
    <w:abstractNumId w:val="18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B1"/>
    <w:rsid w:val="0000186F"/>
    <w:rsid w:val="00005B8D"/>
    <w:rsid w:val="00014A12"/>
    <w:rsid w:val="000205B4"/>
    <w:rsid w:val="00023FCF"/>
    <w:rsid w:val="00024DE1"/>
    <w:rsid w:val="00035126"/>
    <w:rsid w:val="0003759B"/>
    <w:rsid w:val="00040F40"/>
    <w:rsid w:val="0004173D"/>
    <w:rsid w:val="0004177B"/>
    <w:rsid w:val="000435D0"/>
    <w:rsid w:val="00065580"/>
    <w:rsid w:val="00070936"/>
    <w:rsid w:val="000822B6"/>
    <w:rsid w:val="00090208"/>
    <w:rsid w:val="000913FB"/>
    <w:rsid w:val="000919DF"/>
    <w:rsid w:val="000954E2"/>
    <w:rsid w:val="000A335C"/>
    <w:rsid w:val="000B0513"/>
    <w:rsid w:val="000B391B"/>
    <w:rsid w:val="000B391D"/>
    <w:rsid w:val="000C01F5"/>
    <w:rsid w:val="000F54CC"/>
    <w:rsid w:val="0011282C"/>
    <w:rsid w:val="0011524B"/>
    <w:rsid w:val="00123219"/>
    <w:rsid w:val="00125C1B"/>
    <w:rsid w:val="00130296"/>
    <w:rsid w:val="00131F5D"/>
    <w:rsid w:val="00152CC8"/>
    <w:rsid w:val="001556A9"/>
    <w:rsid w:val="00156C46"/>
    <w:rsid w:val="00163974"/>
    <w:rsid w:val="001835DE"/>
    <w:rsid w:val="00184ACF"/>
    <w:rsid w:val="0018722A"/>
    <w:rsid w:val="00194659"/>
    <w:rsid w:val="001959DE"/>
    <w:rsid w:val="00197372"/>
    <w:rsid w:val="001A688A"/>
    <w:rsid w:val="001C2659"/>
    <w:rsid w:val="001C2A19"/>
    <w:rsid w:val="001D359C"/>
    <w:rsid w:val="001F01C4"/>
    <w:rsid w:val="001F2D20"/>
    <w:rsid w:val="001F5700"/>
    <w:rsid w:val="00202854"/>
    <w:rsid w:val="00204068"/>
    <w:rsid w:val="00207EF5"/>
    <w:rsid w:val="0021002C"/>
    <w:rsid w:val="002116FE"/>
    <w:rsid w:val="002132B9"/>
    <w:rsid w:val="00224EB6"/>
    <w:rsid w:val="002416D6"/>
    <w:rsid w:val="00241863"/>
    <w:rsid w:val="00247D55"/>
    <w:rsid w:val="0025761C"/>
    <w:rsid w:val="00260AD5"/>
    <w:rsid w:val="00276B22"/>
    <w:rsid w:val="00277BDE"/>
    <w:rsid w:val="00281FA2"/>
    <w:rsid w:val="0028503E"/>
    <w:rsid w:val="00285F15"/>
    <w:rsid w:val="002A2A95"/>
    <w:rsid w:val="002A7C48"/>
    <w:rsid w:val="002B1AB9"/>
    <w:rsid w:val="002B1B9D"/>
    <w:rsid w:val="002B5649"/>
    <w:rsid w:val="002C598A"/>
    <w:rsid w:val="002D2F5E"/>
    <w:rsid w:val="002D3620"/>
    <w:rsid w:val="002D692C"/>
    <w:rsid w:val="002E0E30"/>
    <w:rsid w:val="002F002D"/>
    <w:rsid w:val="002F0F6C"/>
    <w:rsid w:val="002F419C"/>
    <w:rsid w:val="002F5A96"/>
    <w:rsid w:val="002F7A66"/>
    <w:rsid w:val="00307FD7"/>
    <w:rsid w:val="00312944"/>
    <w:rsid w:val="0031618D"/>
    <w:rsid w:val="00327BB8"/>
    <w:rsid w:val="0033218C"/>
    <w:rsid w:val="00356645"/>
    <w:rsid w:val="00365DA9"/>
    <w:rsid w:val="003755CA"/>
    <w:rsid w:val="00393EBB"/>
    <w:rsid w:val="003A390E"/>
    <w:rsid w:val="003A5DF6"/>
    <w:rsid w:val="003A76DF"/>
    <w:rsid w:val="003A7B2C"/>
    <w:rsid w:val="003A7BD2"/>
    <w:rsid w:val="003B13A4"/>
    <w:rsid w:val="003B198E"/>
    <w:rsid w:val="003C1205"/>
    <w:rsid w:val="003C2A5B"/>
    <w:rsid w:val="003C5B6F"/>
    <w:rsid w:val="003D0CA0"/>
    <w:rsid w:val="003D2D52"/>
    <w:rsid w:val="003D495F"/>
    <w:rsid w:val="003D5642"/>
    <w:rsid w:val="003E26DD"/>
    <w:rsid w:val="003E652A"/>
    <w:rsid w:val="003E7138"/>
    <w:rsid w:val="003F4706"/>
    <w:rsid w:val="00401899"/>
    <w:rsid w:val="004054E3"/>
    <w:rsid w:val="00430B73"/>
    <w:rsid w:val="00434A56"/>
    <w:rsid w:val="00442C8E"/>
    <w:rsid w:val="00451BCC"/>
    <w:rsid w:val="00454FD7"/>
    <w:rsid w:val="00462422"/>
    <w:rsid w:val="0046285D"/>
    <w:rsid w:val="0046635C"/>
    <w:rsid w:val="0047770B"/>
    <w:rsid w:val="00484B5D"/>
    <w:rsid w:val="00490E1D"/>
    <w:rsid w:val="004A406F"/>
    <w:rsid w:val="004B10B1"/>
    <w:rsid w:val="004B2821"/>
    <w:rsid w:val="004B330B"/>
    <w:rsid w:val="004C0FA6"/>
    <w:rsid w:val="004C10B0"/>
    <w:rsid w:val="004C276D"/>
    <w:rsid w:val="004C6323"/>
    <w:rsid w:val="004D1B72"/>
    <w:rsid w:val="004D253F"/>
    <w:rsid w:val="004E0AE5"/>
    <w:rsid w:val="0050265A"/>
    <w:rsid w:val="00503F36"/>
    <w:rsid w:val="00507215"/>
    <w:rsid w:val="00524121"/>
    <w:rsid w:val="0053347B"/>
    <w:rsid w:val="00543178"/>
    <w:rsid w:val="00553854"/>
    <w:rsid w:val="00575678"/>
    <w:rsid w:val="00585A15"/>
    <w:rsid w:val="005A077D"/>
    <w:rsid w:val="005A3E5F"/>
    <w:rsid w:val="005A7637"/>
    <w:rsid w:val="005B2BBF"/>
    <w:rsid w:val="005C414E"/>
    <w:rsid w:val="005D08F2"/>
    <w:rsid w:val="005D7D46"/>
    <w:rsid w:val="005E22F3"/>
    <w:rsid w:val="005E4C51"/>
    <w:rsid w:val="005F4F29"/>
    <w:rsid w:val="005F54FB"/>
    <w:rsid w:val="005F5EF0"/>
    <w:rsid w:val="005F6C1C"/>
    <w:rsid w:val="00617BC7"/>
    <w:rsid w:val="0062067D"/>
    <w:rsid w:val="006254FD"/>
    <w:rsid w:val="0063132B"/>
    <w:rsid w:val="0063389A"/>
    <w:rsid w:val="00636C39"/>
    <w:rsid w:val="00636D77"/>
    <w:rsid w:val="00641647"/>
    <w:rsid w:val="00656148"/>
    <w:rsid w:val="006569B3"/>
    <w:rsid w:val="006617FA"/>
    <w:rsid w:val="00662F9D"/>
    <w:rsid w:val="00666D49"/>
    <w:rsid w:val="00667441"/>
    <w:rsid w:val="00674331"/>
    <w:rsid w:val="006864EC"/>
    <w:rsid w:val="00693761"/>
    <w:rsid w:val="006A3AFE"/>
    <w:rsid w:val="006B1A25"/>
    <w:rsid w:val="006B530C"/>
    <w:rsid w:val="006D283E"/>
    <w:rsid w:val="006D7B38"/>
    <w:rsid w:val="006E15A1"/>
    <w:rsid w:val="006E15DF"/>
    <w:rsid w:val="006E5F9C"/>
    <w:rsid w:val="00701EC8"/>
    <w:rsid w:val="00703A4C"/>
    <w:rsid w:val="00711E09"/>
    <w:rsid w:val="00712641"/>
    <w:rsid w:val="00716BDC"/>
    <w:rsid w:val="007206B3"/>
    <w:rsid w:val="0072444D"/>
    <w:rsid w:val="00725D45"/>
    <w:rsid w:val="00730F47"/>
    <w:rsid w:val="00735244"/>
    <w:rsid w:val="00743386"/>
    <w:rsid w:val="007542C7"/>
    <w:rsid w:val="00760C82"/>
    <w:rsid w:val="00764F7F"/>
    <w:rsid w:val="007677CE"/>
    <w:rsid w:val="007679A6"/>
    <w:rsid w:val="007702DD"/>
    <w:rsid w:val="00773C0A"/>
    <w:rsid w:val="00774181"/>
    <w:rsid w:val="007778EB"/>
    <w:rsid w:val="00777B96"/>
    <w:rsid w:val="00793E2F"/>
    <w:rsid w:val="00795216"/>
    <w:rsid w:val="007A49AD"/>
    <w:rsid w:val="007A5473"/>
    <w:rsid w:val="007A59DC"/>
    <w:rsid w:val="007B7D07"/>
    <w:rsid w:val="007D38D6"/>
    <w:rsid w:val="007D42F6"/>
    <w:rsid w:val="007D51C5"/>
    <w:rsid w:val="007F0328"/>
    <w:rsid w:val="007F71A2"/>
    <w:rsid w:val="0080199A"/>
    <w:rsid w:val="008024E6"/>
    <w:rsid w:val="00810985"/>
    <w:rsid w:val="00811ECD"/>
    <w:rsid w:val="00823EEA"/>
    <w:rsid w:val="008335A1"/>
    <w:rsid w:val="008344D6"/>
    <w:rsid w:val="00836673"/>
    <w:rsid w:val="008375CA"/>
    <w:rsid w:val="008416F4"/>
    <w:rsid w:val="00843D03"/>
    <w:rsid w:val="00845DDD"/>
    <w:rsid w:val="008520F4"/>
    <w:rsid w:val="00852C2B"/>
    <w:rsid w:val="0085463B"/>
    <w:rsid w:val="008562A1"/>
    <w:rsid w:val="00862744"/>
    <w:rsid w:val="0087129F"/>
    <w:rsid w:val="00873367"/>
    <w:rsid w:val="008872D6"/>
    <w:rsid w:val="0089421D"/>
    <w:rsid w:val="00897E82"/>
    <w:rsid w:val="008A7950"/>
    <w:rsid w:val="008C5607"/>
    <w:rsid w:val="008D558D"/>
    <w:rsid w:val="008E00AA"/>
    <w:rsid w:val="008E4F41"/>
    <w:rsid w:val="008F0DA8"/>
    <w:rsid w:val="008F4452"/>
    <w:rsid w:val="008F638F"/>
    <w:rsid w:val="00902890"/>
    <w:rsid w:val="00913A02"/>
    <w:rsid w:val="00931B58"/>
    <w:rsid w:val="00947B28"/>
    <w:rsid w:val="009514B0"/>
    <w:rsid w:val="00951CFF"/>
    <w:rsid w:val="009533AD"/>
    <w:rsid w:val="0096591D"/>
    <w:rsid w:val="00970CB8"/>
    <w:rsid w:val="00994D08"/>
    <w:rsid w:val="00997E60"/>
    <w:rsid w:val="009B07DA"/>
    <w:rsid w:val="009B0AD1"/>
    <w:rsid w:val="009B3BCC"/>
    <w:rsid w:val="009B75E1"/>
    <w:rsid w:val="009C2A00"/>
    <w:rsid w:val="009C5515"/>
    <w:rsid w:val="009D2B2E"/>
    <w:rsid w:val="009D73EE"/>
    <w:rsid w:val="009E322B"/>
    <w:rsid w:val="009F18BF"/>
    <w:rsid w:val="00A10A0D"/>
    <w:rsid w:val="00A13876"/>
    <w:rsid w:val="00A152B1"/>
    <w:rsid w:val="00A20A12"/>
    <w:rsid w:val="00A20C44"/>
    <w:rsid w:val="00A21EFE"/>
    <w:rsid w:val="00A25CF5"/>
    <w:rsid w:val="00A32412"/>
    <w:rsid w:val="00A36DCD"/>
    <w:rsid w:val="00A56384"/>
    <w:rsid w:val="00A60056"/>
    <w:rsid w:val="00A609CE"/>
    <w:rsid w:val="00A76055"/>
    <w:rsid w:val="00A85EA5"/>
    <w:rsid w:val="00A937D6"/>
    <w:rsid w:val="00AA589C"/>
    <w:rsid w:val="00AB5200"/>
    <w:rsid w:val="00AC6C67"/>
    <w:rsid w:val="00AE2818"/>
    <w:rsid w:val="00AE2E58"/>
    <w:rsid w:val="00AE60A0"/>
    <w:rsid w:val="00AE7BA8"/>
    <w:rsid w:val="00AF1E40"/>
    <w:rsid w:val="00AF428A"/>
    <w:rsid w:val="00AF737B"/>
    <w:rsid w:val="00B05EF9"/>
    <w:rsid w:val="00B202B8"/>
    <w:rsid w:val="00B24DF1"/>
    <w:rsid w:val="00B3314F"/>
    <w:rsid w:val="00B34105"/>
    <w:rsid w:val="00B470AF"/>
    <w:rsid w:val="00B55DB6"/>
    <w:rsid w:val="00B63092"/>
    <w:rsid w:val="00B7403D"/>
    <w:rsid w:val="00B87733"/>
    <w:rsid w:val="00BC0967"/>
    <w:rsid w:val="00BC222C"/>
    <w:rsid w:val="00BC55F4"/>
    <w:rsid w:val="00BC77D6"/>
    <w:rsid w:val="00BD47A4"/>
    <w:rsid w:val="00BD7B14"/>
    <w:rsid w:val="00BE05C9"/>
    <w:rsid w:val="00BE6C6B"/>
    <w:rsid w:val="00C044E8"/>
    <w:rsid w:val="00C20F25"/>
    <w:rsid w:val="00C21A15"/>
    <w:rsid w:val="00C333B3"/>
    <w:rsid w:val="00C377C9"/>
    <w:rsid w:val="00C41F53"/>
    <w:rsid w:val="00C43071"/>
    <w:rsid w:val="00C46644"/>
    <w:rsid w:val="00C46B5C"/>
    <w:rsid w:val="00C54033"/>
    <w:rsid w:val="00C6283D"/>
    <w:rsid w:val="00C63A1E"/>
    <w:rsid w:val="00C63D3A"/>
    <w:rsid w:val="00C65F33"/>
    <w:rsid w:val="00C73438"/>
    <w:rsid w:val="00C77D51"/>
    <w:rsid w:val="00C84AD6"/>
    <w:rsid w:val="00C87298"/>
    <w:rsid w:val="00C95503"/>
    <w:rsid w:val="00C955F3"/>
    <w:rsid w:val="00CA1535"/>
    <w:rsid w:val="00CA1AAE"/>
    <w:rsid w:val="00CA5385"/>
    <w:rsid w:val="00CA6652"/>
    <w:rsid w:val="00CB5A7D"/>
    <w:rsid w:val="00CC6CDA"/>
    <w:rsid w:val="00CD0A9E"/>
    <w:rsid w:val="00CD2987"/>
    <w:rsid w:val="00CF03B0"/>
    <w:rsid w:val="00CF2085"/>
    <w:rsid w:val="00CF6089"/>
    <w:rsid w:val="00D01745"/>
    <w:rsid w:val="00D12538"/>
    <w:rsid w:val="00D25B70"/>
    <w:rsid w:val="00D32CF7"/>
    <w:rsid w:val="00D3677D"/>
    <w:rsid w:val="00D548BA"/>
    <w:rsid w:val="00D565EE"/>
    <w:rsid w:val="00D643D2"/>
    <w:rsid w:val="00D66B23"/>
    <w:rsid w:val="00D707E2"/>
    <w:rsid w:val="00D74295"/>
    <w:rsid w:val="00D94DB4"/>
    <w:rsid w:val="00DA1C33"/>
    <w:rsid w:val="00DB0159"/>
    <w:rsid w:val="00DC1A96"/>
    <w:rsid w:val="00DC5618"/>
    <w:rsid w:val="00DC6505"/>
    <w:rsid w:val="00DD348F"/>
    <w:rsid w:val="00DD6638"/>
    <w:rsid w:val="00DD6BC7"/>
    <w:rsid w:val="00DF683B"/>
    <w:rsid w:val="00E0082C"/>
    <w:rsid w:val="00E11E33"/>
    <w:rsid w:val="00E20E53"/>
    <w:rsid w:val="00E23677"/>
    <w:rsid w:val="00E25360"/>
    <w:rsid w:val="00E30BA0"/>
    <w:rsid w:val="00E67175"/>
    <w:rsid w:val="00E673F3"/>
    <w:rsid w:val="00E7059F"/>
    <w:rsid w:val="00E7595C"/>
    <w:rsid w:val="00E77F5B"/>
    <w:rsid w:val="00E90971"/>
    <w:rsid w:val="00EA236E"/>
    <w:rsid w:val="00EA33E3"/>
    <w:rsid w:val="00EA5C14"/>
    <w:rsid w:val="00EB1E28"/>
    <w:rsid w:val="00EB3394"/>
    <w:rsid w:val="00EC2861"/>
    <w:rsid w:val="00EC7017"/>
    <w:rsid w:val="00EC720C"/>
    <w:rsid w:val="00ED101F"/>
    <w:rsid w:val="00ED717B"/>
    <w:rsid w:val="00EE7C5A"/>
    <w:rsid w:val="00F01CF4"/>
    <w:rsid w:val="00F05B2B"/>
    <w:rsid w:val="00F061D2"/>
    <w:rsid w:val="00F0745B"/>
    <w:rsid w:val="00F2167C"/>
    <w:rsid w:val="00F230CF"/>
    <w:rsid w:val="00F33910"/>
    <w:rsid w:val="00F41B72"/>
    <w:rsid w:val="00F47128"/>
    <w:rsid w:val="00F557E0"/>
    <w:rsid w:val="00F56AAF"/>
    <w:rsid w:val="00F71DA6"/>
    <w:rsid w:val="00F80A9E"/>
    <w:rsid w:val="00F821B9"/>
    <w:rsid w:val="00F82776"/>
    <w:rsid w:val="00F86256"/>
    <w:rsid w:val="00F87014"/>
    <w:rsid w:val="00F87D8B"/>
    <w:rsid w:val="00F93CDC"/>
    <w:rsid w:val="00F96D9A"/>
    <w:rsid w:val="00FA24E3"/>
    <w:rsid w:val="00FB1A3E"/>
    <w:rsid w:val="00FB42CC"/>
    <w:rsid w:val="00FD58AA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543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EF0"/>
    <w:pPr>
      <w:ind w:left="720"/>
      <w:contextualSpacing/>
    </w:pPr>
  </w:style>
  <w:style w:type="character" w:customStyle="1" w:styleId="apple-converted-space">
    <w:name w:val="apple-converted-space"/>
    <w:rsid w:val="00FE4A9A"/>
    <w:rPr>
      <w:rFonts w:cs="Times New Roman"/>
    </w:rPr>
  </w:style>
  <w:style w:type="character" w:styleId="a4">
    <w:name w:val="Hyperlink"/>
    <w:uiPriority w:val="99"/>
    <w:semiHidden/>
    <w:rsid w:val="00FE4A9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0406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F821B9"/>
    <w:rPr>
      <w:rFonts w:cs="Times New Roman"/>
      <w:sz w:val="26"/>
      <w:szCs w:val="26"/>
      <w:shd w:val="clear" w:color="auto" w:fill="FFFFFF"/>
    </w:rPr>
  </w:style>
  <w:style w:type="character" w:customStyle="1" w:styleId="60">
    <w:name w:val="Основной текст (6)"/>
    <w:uiPriority w:val="99"/>
    <w:rsid w:val="00F821B9"/>
    <w:rPr>
      <w:rFonts w:cs="Times New Roman"/>
      <w:sz w:val="26"/>
      <w:szCs w:val="26"/>
      <w:shd w:val="clear" w:color="auto" w:fill="FFFFFF"/>
    </w:rPr>
  </w:style>
  <w:style w:type="character" w:customStyle="1" w:styleId="62">
    <w:name w:val="Основной текст (6)2"/>
    <w:uiPriority w:val="99"/>
    <w:rsid w:val="00F821B9"/>
    <w:rPr>
      <w:rFonts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821B9"/>
    <w:pPr>
      <w:widowControl w:val="0"/>
      <w:shd w:val="clear" w:color="auto" w:fill="FFFFFF"/>
      <w:spacing w:before="600" w:after="0" w:line="317" w:lineRule="exact"/>
      <w:ind w:firstLine="720"/>
      <w:jc w:val="both"/>
    </w:pPr>
    <w:rPr>
      <w:sz w:val="26"/>
      <w:szCs w:val="26"/>
    </w:rPr>
  </w:style>
  <w:style w:type="paragraph" w:customStyle="1" w:styleId="a6">
    <w:name w:val="Содержимое таблицы"/>
    <w:basedOn w:val="a"/>
    <w:uiPriority w:val="99"/>
    <w:rsid w:val="002A2A9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sid w:val="007A5473"/>
    <w:pPr>
      <w:spacing w:after="0" w:line="240" w:lineRule="auto"/>
      <w:jc w:val="center"/>
    </w:pPr>
    <w:rPr>
      <w:rFonts w:ascii="Times New Roman" w:eastAsia="Times New Roman" w:hAnsi="Times New Roman"/>
      <w:sz w:val="56"/>
      <w:szCs w:val="20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7A5473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430B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30B7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283D"/>
    <w:rPr>
      <w:rFonts w:ascii="Tahoma" w:hAnsi="Tahoma" w:cs="Tahoma"/>
      <w:sz w:val="16"/>
      <w:szCs w:val="16"/>
    </w:rPr>
  </w:style>
  <w:style w:type="character" w:customStyle="1" w:styleId="HTML1">
    <w:name w:val="Пишущая машинка HTML1"/>
    <w:rsid w:val="00BC0967"/>
    <w:rPr>
      <w:rFonts w:ascii="Arial Unicode MS" w:eastAsia="Arial Unicode MS"/>
      <w:sz w:val="20"/>
    </w:rPr>
  </w:style>
  <w:style w:type="paragraph" w:styleId="HTML">
    <w:name w:val="HTML Preformatted"/>
    <w:basedOn w:val="a"/>
    <w:link w:val="HTML0"/>
    <w:uiPriority w:val="99"/>
    <w:rsid w:val="00BC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HTMLPreformattedChar">
    <w:name w:val="HTML Preformatted Char"/>
    <w:uiPriority w:val="99"/>
    <w:semiHidden/>
    <w:rsid w:val="0098265A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BC0967"/>
    <w:rPr>
      <w:rFonts w:ascii="Courier New" w:hAnsi="Courier New"/>
      <w:sz w:val="21"/>
      <w:lang w:val="ru-RU" w:eastAsia="ru-RU"/>
    </w:rPr>
  </w:style>
  <w:style w:type="paragraph" w:customStyle="1" w:styleId="rvps2">
    <w:name w:val="rvps2"/>
    <w:basedOn w:val="a"/>
    <w:rsid w:val="008F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d">
    <w:name w:val="Strong"/>
    <w:uiPriority w:val="22"/>
    <w:qFormat/>
    <w:locked/>
    <w:rsid w:val="00131F5D"/>
    <w:rPr>
      <w:b/>
      <w:bCs/>
    </w:rPr>
  </w:style>
  <w:style w:type="character" w:customStyle="1" w:styleId="pagetext">
    <w:name w:val="page_text"/>
    <w:rsid w:val="00131F5D"/>
  </w:style>
  <w:style w:type="character" w:styleId="ae">
    <w:name w:val="Subtle Reference"/>
    <w:uiPriority w:val="31"/>
    <w:qFormat/>
    <w:rsid w:val="0011282C"/>
    <w:rPr>
      <w:smallCaps/>
      <w:color w:val="5A5A5A"/>
    </w:rPr>
  </w:style>
  <w:style w:type="paragraph" w:customStyle="1" w:styleId="msolistparagraph0">
    <w:name w:val="msolistparagraph"/>
    <w:basedOn w:val="a"/>
    <w:rsid w:val="00503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4317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c">
    <w:name w:val="tc"/>
    <w:basedOn w:val="a"/>
    <w:rsid w:val="00543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s4">
    <w:name w:val="fs4"/>
    <w:rsid w:val="00543178"/>
  </w:style>
  <w:style w:type="paragraph" w:customStyle="1" w:styleId="tj">
    <w:name w:val="tj"/>
    <w:basedOn w:val="a"/>
    <w:rsid w:val="00543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f">
    <w:name w:val="Table Grid"/>
    <w:basedOn w:val="a1"/>
    <w:uiPriority w:val="39"/>
    <w:locked/>
    <w:rsid w:val="00C20F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9AC4-D488-4A6F-AA13-54D3E691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7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Керівник</cp:lastModifiedBy>
  <cp:revision>247</cp:revision>
  <cp:lastPrinted>2022-02-07T13:41:00Z</cp:lastPrinted>
  <dcterms:created xsi:type="dcterms:W3CDTF">2014-02-18T06:34:00Z</dcterms:created>
  <dcterms:modified xsi:type="dcterms:W3CDTF">2022-02-07T13:46:00Z</dcterms:modified>
</cp:coreProperties>
</file>